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757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отношении: должностного лица - директора 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Крылова Николая Николаевича,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 (проживания):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адрес юридического лица: ХМАО-Югра, Сур-</w:t>
      </w:r>
      <w:r>
        <w:rPr>
          <w:rFonts w:ascii="Times New Roman" w:eastAsia="Times New Roman" w:hAnsi="Times New Roman" w:cs="Times New Roman"/>
          <w:sz w:val="28"/>
          <w:szCs w:val="28"/>
        </w:rPr>
        <w:t>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улица Фадеева, д. 17/2,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Крылова Н.Н.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Межрайонной и</w:t>
      </w:r>
      <w:r>
        <w:rPr>
          <w:rFonts w:ascii="Times New Roman" w:eastAsia="Times New Roman" w:hAnsi="Times New Roman" w:cs="Times New Roman"/>
          <w:sz w:val="28"/>
          <w:szCs w:val="28"/>
        </w:rPr>
        <w:t>нспекции Федеральной налоговой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вонарушениях,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Крылов Н.Н.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улица Фадеева, д. 17/2,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выразившееся в несвоевременном представлении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по налогу на добавленную стоимость за 3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не позднее 24.00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25.10.2023 </w:t>
      </w:r>
      <w:r>
        <w:rPr>
          <w:rFonts w:ascii="Times New Roman" w:eastAsia="Times New Roman" w:hAnsi="Times New Roman" w:cs="Times New Roman"/>
          <w:sz w:val="28"/>
          <w:szCs w:val="28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Крылов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письменный отзыв с обоснованием своей позиции по изложенным в протоколе об административном правонарушении доводам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указал, что с 02.10.2023 г. </w:t>
      </w:r>
      <w:r>
        <w:rPr>
          <w:rFonts w:ascii="Times New Roman" w:eastAsia="Times New Roman" w:hAnsi="Times New Roman" w:cs="Times New Roman"/>
          <w:sz w:val="28"/>
          <w:szCs w:val="28"/>
        </w:rPr>
        <w:t>он уволился с должности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 является субъектом административного правонарушения. предусмотренного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24.1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пра-вонарушениях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правонару-шениях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установленных Кодексом задач должно быть обеспечено на всех стадиях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администра-тивных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при разбирательстве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пра-вонарушении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выяснению подлежат обстоятельства, имеющие значение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-вильного разрешения дела, в том числе - наличие события административного правонарушения, лицо, его совершившее, наличие его вины и иные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обстоятель-ства</w:t>
      </w:r>
      <w:r>
        <w:rPr>
          <w:rFonts w:ascii="Times New Roman" w:eastAsia="Times New Roman" w:hAnsi="Times New Roman" w:cs="Times New Roman"/>
          <w:sz w:val="28"/>
          <w:szCs w:val="28"/>
        </w:rPr>
        <w:t>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вопроса о лице, совершившем противоправное деяние, имеет </w:t>
      </w:r>
      <w:r>
        <w:rPr>
          <w:rFonts w:ascii="Times New Roman" w:eastAsia="Times New Roman" w:hAnsi="Times New Roman" w:cs="Times New Roman"/>
          <w:sz w:val="28"/>
          <w:szCs w:val="28"/>
        </w:rPr>
        <w:t>ос-</w:t>
      </w:r>
      <w:r>
        <w:rPr>
          <w:rFonts w:ascii="Times New Roman" w:eastAsia="Times New Roman" w:hAnsi="Times New Roman" w:cs="Times New Roman"/>
          <w:sz w:val="28"/>
          <w:szCs w:val="28"/>
        </w:rPr>
        <w:t>новополагающее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 для всестороннего, полного и объективного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рассмотре-ния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и своевременного привлечения виновного к административной ответ-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установление виновности предполагает доказывание не только вины лица, но и его непосредственной причастности к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противоправ-ного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2.4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</w:t>
      </w:r>
      <w:r>
        <w:rPr>
          <w:rFonts w:ascii="Times New Roman" w:eastAsia="Times New Roman" w:hAnsi="Times New Roman" w:cs="Times New Roman"/>
          <w:sz w:val="28"/>
          <w:szCs w:val="28"/>
        </w:rPr>
        <w:t>-рушениях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t>обя-занностей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законода-тельством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расче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-та по страховым взносам) в налоговый орган по месту учета - влечет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предупре-ждение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данного нарушения административным органом представлены следующие документы: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86172405200113000002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11.04.2024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внутренних почтовых отправлений, выписк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в отношении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о приеме в электронном виде налоговой декларации; уведомление о месте и времени составления протокола об административном правонарушении,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отслеживании отправле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ния с почтовым идентификатором.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Крыловым Н.Н. и Администрацией 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копия приказа о прекращении трудового договора,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уволен с 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на момент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Крылов Н.Н. </w:t>
      </w:r>
      <w:r>
        <w:rPr>
          <w:rFonts w:ascii="Times New Roman" w:eastAsia="Times New Roman" w:hAnsi="Times New Roman" w:cs="Times New Roman"/>
          <w:sz w:val="28"/>
          <w:szCs w:val="28"/>
        </w:rPr>
        <w:t>не являлся должностным лицом Общества.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То обстоятельство,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предприняло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действий, направленных на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Единый государственный реестр юридических лиц, не является основанием для 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Крылова Н.Н.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прихожу к выводу об отсутствии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Крылова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24.5, 29.9-29.11 КоАП РФ,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МУП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Сургутрайторф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>йон Крылова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